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2" w:firstLine="4536"/>
        <w:jc w:val="center"/>
        <w:rPr>
          <w:rFonts w:ascii="Times New Roman" w:hAnsi="Times New Roman" w:cs="Times New Roman"/>
          <w:sz w:val="28"/>
          <w:szCs w:val="28"/>
        </w:rPr>
      </w:pPr>
      <w:r>
        <w:rPr>
          <w:rFonts w:cs="Times New Roman" w:ascii="Times New Roman" w:hAnsi="Times New Roman"/>
          <w:sz w:val="28"/>
          <w:szCs w:val="28"/>
        </w:rPr>
        <w:t>Приложение 10</w:t>
      </w:r>
    </w:p>
    <w:p>
      <w:pPr>
        <w:pStyle w:val="Normal"/>
        <w:spacing w:lineRule="auto" w:line="240" w:before="0" w:after="0"/>
        <w:ind w:left="4536" w:hanging="0"/>
        <w:jc w:val="both"/>
        <w:rPr>
          <w:rFonts w:ascii="Times New Roman" w:hAnsi="Times New Roman" w:cs="Times New Roman"/>
          <w:sz w:val="28"/>
          <w:szCs w:val="28"/>
        </w:rPr>
      </w:pPr>
      <w:r>
        <w:rPr>
          <w:rFonts w:cs="Times New Roman" w:ascii="Times New Roman" w:hAnsi="Times New Roman"/>
          <w:sz w:val="28"/>
          <w:szCs w:val="28"/>
        </w:rPr>
        <w:t>к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ПОРЯДОК</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предоставления иных межбюджетных трансфертов бюджетам</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муниципальных образований на финансовое обеспечение дорожной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деятельности в рамках регионального проекта «Региональная</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и местная дорожная сеть (Брянская область)» подпрограммы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«Автомобильные дороги» государственной программы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«Обеспечение реализации государственных полномочий в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строительства, архитектуры и развитие дорожного хозяйства</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и условия предоставления иных межбюджетных трансфертов бюджетам муниципальных образований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(далее - иные межбюджетные трансферты), критерии отбора муниципальных образований для предоставления иных межбюджетных трансфертов, порядок отчетности об использовании иных межбюджетных трансфертов, а также критерии оценки эффективности использования муниципальными образованиями предоставляемых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Под Брянской городской агломерацией понимается система, образуемая крупнейшим городским округом и населенными пунктами муниципальных образований Брянской области - «спутниками» с интенсивными производственными, транспортными и культурными связями. Перечень муниципальных образований Брянской области, включенных в состав Брянской городской агломерации, утверждается правовым актом Правительства Брянской области. Объекты улично-дорожной сети Брянской городской агломерации включают в себя автомобильные дороги общего пользования местного значения населенных пунктов Брянской городской агломерации.</w:t>
        <w:tab/>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Иные межбюджетные трансферты предоставляются на мероприятия, включающие в себя расходы, включенные в сводный сметный расчет проектной документации (с учетом комплекса строительно-монтажных работ, затрат на приобретение оборудования, работ по подготовке территории строительства, включающего в себя изъятие земельных участков, необходимых для размещения автомобильной дороги, отчуждение недвижимого имущества в связи с изъятием земельного участка, на котором оно находится, оформление прав владения и пользования на указанный земельный участок, снос зданий, строений и сооружений, переустройство (перенос) инженерных коммуникаций, вырубку леса, проведение археологических раскопок в пределах территории строительства, разминирование территории строительства, прочих работ и затрат на содержание действующих постоянных автомобильных дорог и восстановление их после окончания строительства, затрат по перевозке автомобильным транспортом работников, затраты на проведение пусконаладочных работ, затраты по строительному контролю (техническому надзору), авторскому надзору и других работ (услуг), необходимых на стадии реализации объекта), а также на предоставление субсидий казенным предприятиям, в оперативном управлении которых находятся автомобильные дороги муниципального образования, на вышеуказанные цели.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Показателями результативности использования иных межбюджетных трансфертов являются целевые показатели регионального проекта: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доля протяженности дорожной сети Брянской городской агломерации, соответствующая нормативным требованиям к ее транспортно-эксплуатационному состоянию (по отношению к базовому значению, утвержденному региональным проектом), %/км;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протяженность автомобильных дорог/искусственных сооружений, приведенных в нормативное состояние при модернизации дорожной инфраструктуры, направленной на устранение аварийного и предаварийного состояния искусственных сооружений, входящих в состав указанной инфраструктуры, км/пог. 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Минимальные значения показателей результативности расходов бюджетов муниципальных образований, в целях реализации которых предоставляются иные межбюджетные трансферты, на каждый год устанавливаются паспортом регионального проекта.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Иные межбюджетные трансферты предоставляются в пределах бюджетных ассигнований областного бюджета и лимитов бюджетных обязательств, утвержденных главному распорядителю бюджетных средств на цели, указанные в пункте 3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Условиями предоставления иных межбюджетных трансфертов бюджетам муниципальных образований на цели, предусмотренные пунктом 3 настоящего Порядка,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ассигнований в бюджетах муниципальных образований в объеме не менее 5% объема расходного обязательства муниципального образования. Уровень софинансирования расходных обязательств муниципальных образований за счет иных межбюджетных трансфертов из областного бюджета не может превышать 95% объема расходного обязательства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правового акта муниципального образования об утверждении перечня мероприятий, в целях софинансирования которых предоставляются иные межбюджетные трансферты;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заключение соглашения о предоставлении иных межбюджетных трансфертов, между главным распорядителем бюджетных средств и администрациями муниципальных образований в соответствии с действующим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Соглашение о предоставлении иных межбюджетных трансфертов (далее - соглашение) должно содержать: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размер предоставляемых иных межбюджетных трансфертов, порядок, условия и сроки их перечисления в бюджет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в целях софинансирования которого предоставляются иные межбюджетные трансферты, установленные с учетом утвержденного предельного уровня софинансирования;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реквизиты правового акта муниципального образования, указанного в пункте 6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сроки и порядок представления отчетности;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наименование органа муниципального образования, на который возлагаются функции по исполнению (координации исполнения) соглашения со стороны муниципального образования и представлению отчетности;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порядок осуществления контроля за выполнением муниципальным образованием обязательств, предусмотренных соглашением;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обязательство муниципального образования по завершении выполнения мероприятий (в том числе по приемке выполнения соответствующих работ), включенных в региональный проект, до 1 декабря текущего года (за исключением работ, технологический цикл выполнения которых превышает указанный срок, а также случаев, когда региональным проектом предусмотрен иной срок);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обязательство муниципального образования по обеспечению заключения контрактов на выполнение мероприятий, предусмотренных региональным проектом, в сроки, обеспечивающие своевременное достижение результатов регионального проекта;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обязательства муниципального образования по достижению показателей результативности использования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обязательства муниципального образования по возврату средств в областной бюджет в соответствии с пунктами 23 и 24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ответственность сторон за нарушение условий соглашения;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условие о вступлении в силу соглашения;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иные положения, регулирующие порядок предоставления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объектов, иные межбюджетные трансферты предоставляются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финансирование объектов, в том числе в связи с увеличением сметной или предполагаемой (предельной) стоимости, размер иных межбюджетных трансфертов не подлежит изменению.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Главным распорядителем средств областного бюджета в форме иных межбюджетных трансфертов является департамент строительства Брянской области (далее - департамент), который заключает с ГКУ «Управление автомобильных дорог Брянской области» (далее - учреждение) соглашение, определяющее обязанности и полномочия в сфере бюджетных правоотношений и освоения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Отбор муниципальных образований для предоставления иных межбюджетных трансфертов проводит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Критериями отбора муниципального образования для предоставления иных межбюджетных трансфертов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в перечне автомобильных дорог (улиц) местного значения и планируемых мероприятий на них для достижения целевых показателей (по Брянской городской агломерации) регионального проекта автомобильной дороги муниципального образования в соответствующем финансовом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принадлежность автомобильных дорог, на которых планируются мероприятия для достижения целевых показателей, к муниципальной собственности.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Муниципальные образования представляют в учреждение заявление о предоставлении иных межбюджетных трансфертов с приложением следующих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перечень объектов капитального ремонта и ремонта автомобильных дорог общего пользования местного значения и искусственных сооружений на них с указанием заказчика, мощностей, обеспечивающих достижение целей регионального проекта, плановых сроков завершения объектов в пределах установленных контрольных точек исполнения регионального проекта и средств, планируемых к выделению муниципальным образованием, утвержденный местной администрацией (далее - перечень, объекты);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утвержденная проектная документация или сметный расчет стоимости работ по объектам перечня либо обязательства органа местного самоуправления, предусматривающие обеспечение разработки проектной документации или сметных расчетов стоимости работ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30 календарных дней после подачи заявления;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выписка из бюджета муниципального образования, подтверждающая софинансирование объектов за счет средств местных бюджетов;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документы, подтверждающие принадлежность объектов к муниципальной собственности.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12. Срок представления заявления о предоставлении иных межбюджетных трансфертов и прилагаемых к нему документов устанавливается учреждением.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Учреждение в двухнедельный срок с даты получения заявления и предусмотренных настоящим Порядком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осуществляет проверку правильности оформления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принимает решение о предоставлении иных межбюджетных трансфертов либо возврате заявления (с указанием причин возврата) с направлением муниципальному образованию соответствующего уведомления.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Основанием для возврата заявления является непредставление или представление не в полном объеме документов, указанных в пункте 11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Муниципальное образование в случае возврата заявления в двухнедельный срок устраняет недостатки и повторно представляет заявление в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 Распределение иных межбюджетных трансфертов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2 ноября 2016 года № 89-З «О межбюджетных отношениях в Брянской области». Перечень объектов утверждается нормативными правовыми актами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14. Администрации муниципальных образований (казенные предприятия, в оперативном управлении которых находятся автомобильные дороги муниципального образования) осуществляют закупку необходимых работ (услуг), предусмотренных проектно-сметной документацией, на реализацию целей, предусмотренных пунктом 3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15. Департамент перечисляет иные межбюджетные трансферты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16. Администрации муниципальных образований представляют в учреждение заявку в кассовый план перечисления иных межбюджетных трансфертов на следующий месяц по установленной форме в срок до 25 числа текущего месяца.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17. Администрации муниципальных образований представляют в учреждение заявку на перечисление иных межбюджетных трансфертов (с приложением заверенных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актов о приемке выполненных работ (услуг) для объектов капитального ремонта, ремонта автомобильных дорог или в том числе по форме КС-2, исполнительной документации на выполненные работы, актов освидетельствования скрытых работ, ведомостей промеров толщин конструктивных элементов дорожной одежды, ведомостей замеров геометрических параметров, документов (актов) муниципального образования, определяющих лицо, уполномоченное на осуществление функций технического надзора за ходом и результатами дорожных работ) по установленной форме в срок до 20 числа текущего месяца.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18. Администрации муниципальных образований представляют в учреждение ежемесячно, не позднее 2-го рабочего дня месяца, следующего за отчетным, отчет об использовании иных межбюджетных трансфертов по форме в соответствии с заключенным соглашением.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19. Учреждение представляет главному распорядителю бюджетных средств в срок не позднее 2-го рабочего дня месяца, следующего за отчетным, сводный отчет об освоении иных межбюджетных трансфертов по форме, утвержденной главным распорядителем средств областного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20. Иные межбюджетные трансферты носят целевой характер. В случае использования средств областного бюджета не по целевому назначению к муниципальному образованию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21. Не использованные по состоянию на 31 декабря соответствующего финансового года остатки целевых средств подлежат возврату в областной бюджет.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22. Оценка эффективности использования муниципальными образованиями предоставленных иных межбюджетных трансфертов осуществляется главным распорядителем средств областного бюджета исходя из достижения муниципальными образованиями значений показателей результативности предоставления иных межбюджетных трансфертов, установленных пунктом 4 настоящего Порядка, на основании отчетов муниципальных образований и плановых значений показателей по заключенному соглашению.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23. В случае если муниципальным образованием по состоянию на 31 декабря соответствующего финансового года предоставления иных межбюджетных трансфертов допущены нарушения обязательств, предусмотренных соглашением в соответствии с пунктом 22 настоящего Порядка, и в срок до первой даты представления отчетности о достижении значений показателей результативности использования иных межбюджетных трансфертов в соответствии с соглашением в году, следующем за годом предоставления иных межбюджетных трансфертов,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иных межбюджетных трансфертов (Vвозврата),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 xml:space="preserve">Vвозврата = (Vтрансферт x k x m / </w:t>
      </w:r>
      <w:r>
        <w:rPr>
          <w:rFonts w:cs="Times New Roman" w:ascii="Times New Roman" w:hAnsi="Times New Roman"/>
          <w:sz w:val="28"/>
          <w:szCs w:val="28"/>
          <w:lang w:val="en-US"/>
        </w:rPr>
        <w:t>n</w:t>
      </w:r>
      <w:r>
        <w:rPr>
          <w:rFonts w:cs="Times New Roman" w:ascii="Times New Roman" w:hAnsi="Times New Roman"/>
          <w:sz w:val="28"/>
          <w:szCs w:val="28"/>
        </w:rPr>
        <w:t>) x 0,1,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Vтрансферт - размер иных межбюджетных трансфертов, предоставленных бюджету муниципального образования в отчетном финансовом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результативности использования иных межбюджетных трансфертов, по которым индекс, отражающий уровень недостижения i-го показателя результативности использования иных межбюджетных трансфертов, имеет положительное значение;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en-US"/>
        </w:rPr>
        <w:t>n</w:t>
      </w:r>
      <w:r>
        <w:rPr>
          <w:rFonts w:cs="Times New Roman" w:ascii="Times New Roman" w:hAnsi="Times New Roman"/>
          <w:sz w:val="28"/>
          <w:szCs w:val="28"/>
        </w:rPr>
        <w:t xml:space="preserve"> - общее количество показателей результативности использования иных межбю</w:t>
      </w:r>
      <w:bookmarkStart w:id="0" w:name="_GoBack"/>
      <w:bookmarkEnd w:id="0"/>
      <w:r>
        <w:rPr>
          <w:rFonts w:cs="Times New Roman" w:ascii="Times New Roman" w:hAnsi="Times New Roman"/>
          <w:sz w:val="28"/>
          <w:szCs w:val="28"/>
        </w:rPr>
        <w:t>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k - коэффициент возврата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иных межбюджетных трансфертов, предоставленных бюджету муниципального образования в отчетном финансовом году (Vтрансферт), не учитывается размер остатка иных межбюджетных трансфертов,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Коэффициент возврата иных межбюджетных трансфертов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k = SUM Di / m,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spacing w:lineRule="auto" w:line="240" w:before="0" w:after="0"/>
        <w:ind w:firstLine="709"/>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Di - индекс, отражающий уровень недостижения i-го показателя результативности использования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расчете коэффициента возврата иных межбюджетных трансфертов используются только положительные значения индекса, отражающего уровень недостижения i-го показателя результативности использования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Индекс, отражающий уровень недостижения i-го показателя результативности использования иных межбюджетных трансфертов, определяется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Di = 1 - Ti / Si,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Ti - фактически достигнутое значение i-го показателя результативности использования иных межбюджетных трансфертов на отчетную дату;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Si - плановое значение i-го показателя результативности использования иных межбюджетных трансфертов, установленное соглашением.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24. В случае если муниципальным образованием по состоянию на 31 декабря соответствующего финансового года предоставления иных межбюджетных трансфертов допущены нарушения обязательств, предусмотренных графиком выполнения мероприятий на финансовое обеспечение дорожной деятельности в рамках реализации национального проекта «Безопасные качественные дороги», и в срок до 1 апреля года, следующего за годом предоставления иных межбюджетных трансфертов,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иных межбюджетных трансфертов на софинансирование в объекты муниципальной собственности, по которым допущено нарушение графика выполнения мероприятий, без учета размера остатка иных межбюджетных трансфертов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иных межбюджетных трансфертов,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иных межбюджетных трансфертов, не представлены документы, предусмотренные пунктом 25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случае одновременного нарушения муниципальным образованием обязательств, предусмотренных соглашением в соответствии с пунктами 4 и 21 настоящего Порядка, возврату подлежит объем средств, соответствующий размеру иных межбюджетных трансфертов на софинансирование вложений в объекты муниципальной собственности, определенный в соответствии с абзацем первым настоящего пункта.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25. Основанием для освобождения муниципальных образований от применения мер ответственности, предусмотренных пунктами 23 и 24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за нарушение обязательств, предусмотренных пунктами 23 и 24 настоящего Порядка, департамент не позднее 20 апреля года, следующего за годом предоставления иных межбюджетных трансфертов,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23 и 24 настоящего Порядка, на иные цели.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26. Департамент по предложениям учреждения по итогам отчетов муниципальных образований об использовании иных межбюджетных трансфертов вправе вносить предложения о перераспределении иных межбюджетных трансфертов между муниципальными образованиями.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27. Департамент осуществляет контроль за целевым и эффективным использованием средств иных межбюджетных трансфертов в соответствии с бюджетным законодательством Российской Федерации, в том числе через подведомственное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28. Органы местного самоуправления муниципальных образований обеспечивают целевое и эффективное использование бюджетных средств.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29. В случае нецелевого использования иных межбюджетных трансфертов и (или) нарушения муниципальным образованием условий их предоставления, в том числе невозврата муниципальным образованием средств в областной бюджет в соответствии с пунктами 23 и 24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МЕТОДИКА</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распределения иных межбюджетных трансфертов бюджетам</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муниципальных образований на финансовое обеспечение дорожной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деятельности в рамках регионального проекта «Региональная</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и местная дорожная сеть (Брянская область)» подпрограммы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«Автомобильные дороги» государственной программы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«Обеспечение реализации государственных полномочий в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строительства, архитектуры и развитие дорожного хозяйства</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Иные межбюджетные трансферты бюджетам муниципальных образований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предоставляются за счет средств дорожного фонда Брянской области при наличии объектов, соответствующих установленным критериям в утвержденном Порядке предоставления указанных иных межбюджетных трансфертов.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Распределение иных межбюджетных трансфертов бюджетам муниципальных образований на финансовое обеспечение дорожной деятельности между муниципальными образованиями осуществляется по следующей методике расчета: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Ciр = C x Vi / V,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Ciр - размер иных межбюджетных трансфертов бюджету i-го муниципального образования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 - общий объем иных межбюджетных трансфертов, выделяемых бюджетам муниципальных образований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 - общий объем средств, определенный ГКУ «Управление автомобильных дорог Брянской области» согласно представленным муниципальными образованиями заявкам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Vi - объем средств, необходимый i-му муниципальному образованию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соответствующий финансовый год, согласно представленной заявке.</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61afd"/>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Unicode M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Unicode MS"/>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LibreOffice/7.0.1.2$Windows_X86_64 LibreOffice_project/7cbcfc562f6eb6708b5ff7d7397325de9e764452</Application>
  <Pages>9</Pages>
  <Words>2771</Words>
  <Characters>21938</Characters>
  <CharactersWithSpaces>24608</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2021-09-01T13:18:00Z</dcterms:created>
  <dc:creator>User Windows</dc:creator>
  <dc:description/>
  <dc:language>ru-RU</dc:language>
  <cp:lastModifiedBy>User Windows</cp:lastModifiedBy>
  <dcterms:modified xsi:type="dcterms:W3CDTF">2021-10-25T06:40:00Z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